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900" w:left="0"/>
        <w:jc w:val="both"/>
        <w:rPr>
          <w:sz w:val="28"/>
        </w:rPr>
      </w:pPr>
    </w:p>
    <w:p w14:paraId="02000000">
      <w:pPr>
        <w:ind w:firstLine="900" w:left="0"/>
        <w:jc w:val="both"/>
        <w:rPr>
          <w:sz w:val="28"/>
        </w:rPr>
      </w:pPr>
      <w:r>
        <w:rPr>
          <w:sz w:val="28"/>
        </w:rPr>
        <w:t>Одним из приоритетных направлений деятельности прокуратуры города является надзор за исполнением законодательства о противодействии коррупции.</w:t>
      </w:r>
    </w:p>
    <w:p w14:paraId="03000000">
      <w:pPr>
        <w:ind w:firstLine="900" w:left="0"/>
        <w:jc w:val="both"/>
        <w:rPr>
          <w:sz w:val="28"/>
        </w:rPr>
      </w:pPr>
      <w:r>
        <w:rPr>
          <w:sz w:val="28"/>
        </w:rPr>
        <w:t>Так, за 2025</w:t>
      </w:r>
      <w:r>
        <w:rPr>
          <w:sz w:val="28"/>
        </w:rPr>
        <w:t xml:space="preserve"> год</w:t>
      </w:r>
      <w:r>
        <w:rPr>
          <w:sz w:val="28"/>
        </w:rPr>
        <w:t xml:space="preserve"> прокуратурой города по результатам проведенных проверок возбуждено </w:t>
      </w:r>
      <w:r>
        <w:rPr>
          <w:sz w:val="28"/>
        </w:rPr>
        <w:t>2</w:t>
      </w:r>
      <w:r>
        <w:rPr>
          <w:sz w:val="28"/>
        </w:rPr>
        <w:t xml:space="preserve"> дел</w:t>
      </w:r>
      <w:r>
        <w:rPr>
          <w:sz w:val="28"/>
        </w:rPr>
        <w:t>а</w:t>
      </w:r>
      <w:r>
        <w:rPr>
          <w:sz w:val="28"/>
        </w:rPr>
        <w:t xml:space="preserve"> об административном правонарушении, предусмотренном ст. 19.29 КоАП РФ, по </w:t>
      </w:r>
      <w:r>
        <w:rPr>
          <w:sz w:val="28"/>
        </w:rPr>
        <w:t>р</w:t>
      </w:r>
      <w:r>
        <w:rPr>
          <w:sz w:val="28"/>
        </w:rPr>
        <w:t>езультатам рассмотрения которых постановлениями</w:t>
      </w:r>
      <w:r>
        <w:rPr>
          <w:sz w:val="28"/>
        </w:rPr>
        <w:t xml:space="preserve"> суда </w:t>
      </w:r>
      <w:r>
        <w:rPr>
          <w:sz w:val="28"/>
        </w:rPr>
        <w:t>юридические и должностные лица привлечены</w:t>
      </w:r>
      <w:r>
        <w:rPr>
          <w:sz w:val="28"/>
        </w:rPr>
        <w:t xml:space="preserve"> к административной ответственности с назначением наказания в виде штрафов</w:t>
      </w:r>
      <w:r>
        <w:rPr>
          <w:sz w:val="28"/>
        </w:rPr>
        <w:t>.</w:t>
      </w:r>
    </w:p>
    <w:p w14:paraId="04000000">
      <w:pPr>
        <w:ind w:firstLine="900" w:left="0"/>
        <w:jc w:val="both"/>
        <w:rPr>
          <w:sz w:val="28"/>
        </w:rPr>
      </w:pPr>
      <w:r>
        <w:rPr>
          <w:sz w:val="28"/>
        </w:rPr>
        <w:t>Согласно ч. 4 ст. 12 Федерального закона от 25.12.2008 № 273-ФЗ                 «О противодействии коррупции», работодатель при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(работодателю) государственного или муниципального служащего по последнему месту его службы.</w:t>
      </w:r>
    </w:p>
    <w:p w14:paraId="05000000">
      <w:pPr>
        <w:ind w:firstLine="900" w:left="0"/>
        <w:jc w:val="both"/>
        <w:rPr>
          <w:sz w:val="28"/>
        </w:rPr>
      </w:pPr>
      <w:r>
        <w:rPr>
          <w:sz w:val="28"/>
        </w:rPr>
        <w:t xml:space="preserve">За </w:t>
      </w:r>
      <w:r>
        <w:rPr>
          <w:sz w:val="28"/>
        </w:rPr>
        <w:t>ненаправление</w:t>
      </w:r>
      <w:r>
        <w:rPr>
          <w:sz w:val="28"/>
        </w:rPr>
        <w:t xml:space="preserve"> в установленный законом срок указанной информации предусмотрена административная ответственность по ст. 19.29 КоАП РФ.</w:t>
      </w:r>
    </w:p>
    <w:p w14:paraId="06000000"/>
    <w:p w14:paraId="07000000"/>
    <w:p w14:paraId="08000000">
      <w:pPr>
        <w:rPr>
          <w:sz w:val="28"/>
        </w:rPr>
      </w:pPr>
      <w:bookmarkStart w:id="1" w:name="_GoBack"/>
      <w:bookmarkEnd w:id="1"/>
    </w:p>
    <w:sectPr>
      <w:pgSz w:h="16838" w:orient="portrait" w:w="11906"/>
      <w:pgMar w:bottom="1134" w:footer="709" w:gutter="0" w:header="709" w:left="1701" w:right="851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1_ch" w:type="character">
    <w:name w:val="Normal"/>
    <w:link w:val="Style_1"/>
    <w:rPr>
      <w:rFonts w:ascii="Times New Roman" w:hAnsi="Times New Roman"/>
      <w:sz w:val="24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basedOn w:val="Style_8"/>
    <w:link w:val="Style_12_ch"/>
    <w:rPr>
      <w:color w:val="0000FF"/>
      <w:u w:val="single"/>
    </w:rPr>
  </w:style>
  <w:style w:styleId="Style_12_ch" w:type="character">
    <w:name w:val="Hyperlink"/>
    <w:basedOn w:val="Style_8_ch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Balloon Text"/>
    <w:basedOn w:val="Style_1"/>
    <w:link w:val="Style_19_ch"/>
    <w:rPr>
      <w:rFonts w:ascii="Segoe UI" w:hAnsi="Segoe UI"/>
      <w:sz w:val="18"/>
    </w:rPr>
  </w:style>
  <w:style w:styleId="Style_19_ch" w:type="character">
    <w:name w:val="Balloon Text"/>
    <w:basedOn w:val="Style_1_ch"/>
    <w:link w:val="Style_19"/>
    <w:rPr>
      <w:rFonts w:ascii="Segoe UI" w:hAnsi="Segoe UI"/>
      <w:sz w:val="18"/>
    </w:rPr>
  </w:style>
  <w:style w:styleId="Style_20" w:type="paragraph">
    <w:name w:val="Subtitle"/>
    <w:next w:val="Style_1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1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1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1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2025-10-23T09:01:36Z</dcterms:modified>
</cp:coreProperties>
</file>